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3" w:after="0"/>
        <w:ind w:left="1105" w:right="418" w:hanging="0"/>
        <w:jc w:val="center"/>
        <w:rPr/>
      </w:pPr>
      <w:r>
        <w:rPr>
          <w:b/>
          <w:spacing w:val="-3"/>
          <w:sz w:val="20"/>
        </w:rPr>
        <w:t>УПРАВЛЕНИЕ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ОБРАЗОВАНИЯ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ГОРОДА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РОСТОВА-НА-ДОНУ</w:t>
      </w:r>
    </w:p>
    <w:p>
      <w:pPr>
        <w:pStyle w:val="Normal"/>
        <w:ind w:left="663" w:right="683" w:hanging="0"/>
        <w:jc w:val="center"/>
        <w:rPr/>
      </w:pPr>
      <w:r>
        <w:rPr>
          <w:b/>
          <w:spacing w:val="-2"/>
          <w:sz w:val="20"/>
        </w:rPr>
        <w:t>МУНИЦИПАЛЬНОЕ</w:t>
      </w:r>
      <w:r>
        <w:rPr>
          <w:b/>
          <w:spacing w:val="31"/>
          <w:sz w:val="20"/>
        </w:rPr>
        <w:t xml:space="preserve"> </w:t>
      </w:r>
      <w:r>
        <w:rPr>
          <w:b/>
          <w:spacing w:val="-1"/>
          <w:sz w:val="20"/>
        </w:rPr>
        <w:t>БЮДЖЕТНОЕ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ОБЩЕОБРАЗОВАТЕЛЬНОЕ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УЧРЕЖДЕНИЕ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ГОРОДА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РОСТОВА-НА-ДОНУ</w:t>
      </w:r>
    </w:p>
    <w:p>
      <w:pPr>
        <w:pStyle w:val="Normal"/>
        <w:spacing w:before="1" w:after="0"/>
        <w:ind w:left="663" w:right="683" w:hanging="0"/>
        <w:jc w:val="center"/>
        <w:rPr/>
      </w:pPr>
      <w:r>
        <w:rPr>
          <w:b/>
          <w:spacing w:val="-1"/>
          <w:sz w:val="20"/>
        </w:rPr>
        <w:t>«ГИМНАЗИЯ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№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118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ИМЕНИ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ВАЛЕРИЯ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НИКОЛАЕВИЧА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ЦЫГАНОВА»</w:t>
      </w:r>
    </w:p>
    <w:p>
      <w:pPr>
        <w:pStyle w:val="Normal"/>
        <w:tabs>
          <w:tab w:val="clear" w:pos="708"/>
          <w:tab w:val="left" w:pos="5814" w:leader="none"/>
        </w:tabs>
        <w:spacing w:before="3" w:after="19"/>
        <w:ind w:left="132" w:right="0" w:hanging="0"/>
        <w:rPr/>
      </w:pPr>
      <w:r>
        <w:rPr>
          <w:b/>
          <w:spacing w:val="-1"/>
          <w:sz w:val="20"/>
        </w:rPr>
        <w:t>344113,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Ростов-на-Дону,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Орбитальная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26/1</w:t>
        <w:tab/>
        <w:t>тел./факс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233-31-55</w:t>
      </w:r>
    </w:p>
    <w:p>
      <w:pPr>
        <w:pStyle w:val="Style16"/>
        <w:spacing w:lineRule="exact" w:line="28"/>
        <w:ind w:left="104" w:right="0" w:hanging="0"/>
        <w:rPr>
          <w:lang w:val="ru-RU" w:eastAsia="ru-RU"/>
        </w:rPr>
      </w:pPr>
      <w:r>
        <w:rPr/>
        <mc:AlternateContent>
          <mc:Choice Requires="wpg">
            <w:drawing>
              <wp:inline distT="0" distB="0" distL="0" distR="0">
                <wp:extent cx="6159500" cy="19685"/>
                <wp:effectExtent l="0" t="0" r="0" b="0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80" cy="19080"/>
                          <a:chOff x="0" y="-19800"/>
                          <a:chExt cx="6158880" cy="19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158880" cy="19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1.55pt;width:484.95pt;height:1.5pt" coordorigin="0,-31" coordsize="9699,30">
                <v:rect id="shape_0" path="m0,0l-2147483645,0l-2147483645,-2147483646l0,-2147483646xe" fillcolor="black" stroked="f" style="position:absolute;left:0;top:-31;width:9698;height:29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b w:val="false"/>
          <w:b w:val="false"/>
          <w:bCs w:val="false"/>
          <w:sz w:val="24"/>
          <w:szCs w:val="24"/>
          <w:lang w:eastAsia="ru-RU"/>
        </w:rPr>
      </w:pPr>
      <w:r>
        <w:rPr>
          <w:b w:val="false"/>
          <w:b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b w:val="false"/>
          <w:b w:val="false"/>
          <w:bCs w:val="false"/>
          <w:sz w:val="24"/>
          <w:szCs w:val="24"/>
          <w:lang w:eastAsia="ru-RU"/>
        </w:rPr>
      </w:pPr>
      <w:r>
        <w:rPr>
          <w:b w:val="false"/>
          <w:bCs w:val="false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b w:val="false"/>
          <w:b w:val="false"/>
          <w:bCs w:val="false"/>
          <w:sz w:val="24"/>
          <w:szCs w:val="24"/>
          <w:lang w:eastAsia="ru-RU"/>
        </w:rPr>
      </w:pPr>
      <w:r>
        <w:rPr>
          <w:b w:val="false"/>
          <w:bCs w:val="false"/>
          <w:sz w:val="24"/>
          <w:szCs w:val="24"/>
          <w:lang w:eastAsia="ru-RU"/>
        </w:rPr>
        <w:t>УТВЕРЖДАЮ</w: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ru-RU"/>
        </w:rPr>
        <w:t xml:space="preserve">      </w:t>
      </w:r>
      <w:r>
        <w:rPr>
          <w:b w:val="false"/>
          <w:bCs w:val="false"/>
          <w:sz w:val="24"/>
          <w:szCs w:val="24"/>
          <w:lang w:eastAsia="ru-RU"/>
        </w:rPr>
        <w:t>______________    Т.С. Балашова</w:t>
      </w:r>
    </w:p>
    <w:p>
      <w:pPr>
        <w:pStyle w:val="Normal"/>
        <w:tabs>
          <w:tab w:val="clear" w:pos="708"/>
          <w:tab w:val="left" w:pos="1455" w:leader="none"/>
        </w:tabs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ru-RU"/>
        </w:rPr>
        <w:t xml:space="preserve">     </w:t>
      </w:r>
      <w:r>
        <w:rPr>
          <w:b w:val="false"/>
          <w:bCs w:val="false"/>
          <w:sz w:val="24"/>
          <w:szCs w:val="24"/>
          <w:lang w:eastAsia="ru-RU"/>
        </w:rPr>
        <w:t>Директор МБОУ «Гимназия № 118»</w:t>
      </w:r>
    </w:p>
    <w:p>
      <w:pPr>
        <w:pStyle w:val="Style16"/>
        <w:jc w:val="righ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eastAsia="ru-RU"/>
        </w:rPr>
        <w:t xml:space="preserve">     </w:t>
      </w:r>
      <w:r>
        <w:rPr>
          <w:b w:val="false"/>
          <w:bCs w:val="false"/>
          <w:sz w:val="24"/>
          <w:szCs w:val="24"/>
          <w:lang w:eastAsia="ru-RU"/>
        </w:rPr>
        <w:t>Приказ № 255от 28.08.2024</w:t>
      </w:r>
    </w:p>
    <w:p>
      <w:pPr>
        <w:pStyle w:val="Style16"/>
        <w:jc w:val="right"/>
        <w:rPr>
          <w:b/>
          <w:b/>
          <w:color w:val="auto"/>
          <w:szCs w:val="20"/>
          <w:lang w:eastAsia="ru-RU"/>
        </w:rPr>
      </w:pPr>
      <w:r>
        <w:rPr>
          <w:b/>
          <w:color w:val="auto"/>
          <w:szCs w:val="20"/>
          <w:lang w:eastAsia="ru-RU"/>
        </w:rPr>
      </w:r>
    </w:p>
    <w:p>
      <w:pPr>
        <w:pStyle w:val="Style16"/>
        <w:jc w:val="right"/>
        <w:rPr>
          <w:b/>
          <w:b/>
          <w:color w:val="auto"/>
          <w:szCs w:val="20"/>
          <w:lang w:eastAsia="ru-RU"/>
        </w:rPr>
      </w:pPr>
      <w:r>
        <w:rPr>
          <w:b/>
          <w:color w:val="auto"/>
          <w:szCs w:val="20"/>
          <w:lang w:eastAsia="ru-RU"/>
        </w:rPr>
      </w:r>
    </w:p>
    <w:p>
      <w:pPr>
        <w:pStyle w:val="Style16"/>
        <w:jc w:val="right"/>
        <w:rPr>
          <w:b/>
          <w:b/>
          <w:color w:val="auto"/>
          <w:szCs w:val="20"/>
          <w:lang w:eastAsia="ru-RU"/>
        </w:rPr>
      </w:pPr>
      <w:r>
        <w:rPr>
          <w:b/>
          <w:color w:val="auto"/>
          <w:szCs w:val="20"/>
          <w:lang w:eastAsia="ru-RU"/>
        </w:rPr>
      </w:r>
    </w:p>
    <w:p>
      <w:pPr>
        <w:pStyle w:val="Style16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b/>
          <w:bCs/>
          <w:color w:val="auto"/>
          <w:sz w:val="36"/>
          <w:szCs w:val="36"/>
          <w:lang w:eastAsia="ru-RU"/>
        </w:rPr>
        <w:t xml:space="preserve">ПОЛОЖЕНИЕ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об индивидуальной карте учета динамики развития обучающихся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b/>
          <w:b/>
          <w:bCs/>
          <w:sz w:val="32"/>
          <w:szCs w:val="32"/>
        </w:rPr>
      </w:pPr>
      <w:r>
        <w:rPr>
          <w:b/>
          <w:color w:val="auto"/>
          <w:szCs w:val="20"/>
        </w:rPr>
        <w:t>в</w:t>
      </w:r>
      <w:bookmarkStart w:id="0" w:name="_GoBack"/>
      <w:bookmarkEnd w:id="0"/>
      <w:r>
        <w:rPr>
          <w:b/>
          <w:color w:val="auto"/>
          <w:szCs w:val="20"/>
        </w:rPr>
        <w:t xml:space="preserve"> МБОУ «</w:t>
      </w:r>
      <w:r>
        <w:rPr>
          <w:rFonts w:eastAsia="Times New Roman" w:cs="Times New Roman"/>
          <w:b/>
          <w:color w:val="auto"/>
          <w:sz w:val="28"/>
          <w:szCs w:val="20"/>
        </w:rPr>
        <w:t>Гимназия № 118</w:t>
      </w:r>
      <w:r>
        <w:rPr>
          <w:b/>
          <w:color w:val="auto"/>
          <w:szCs w:val="20"/>
        </w:rPr>
        <w:t>»</w:t>
      </w:r>
    </w:p>
    <w:p>
      <w:pPr>
        <w:pStyle w:val="Style16"/>
        <w:jc w:val="right"/>
        <w:rPr>
          <w:lang w:eastAsia="ru-RU"/>
        </w:rPr>
      </w:pPr>
      <w:r>
        <w:rPr>
          <w:lang w:eastAsia="ru-RU"/>
        </w:rPr>
      </w:r>
    </w:p>
    <w:p>
      <w:pPr>
        <w:pStyle w:val="Style16"/>
        <w:jc w:val="right"/>
        <w:rPr>
          <w:lang w:eastAsia="ru-RU"/>
        </w:rPr>
      </w:pPr>
      <w:r>
        <w:rPr>
          <w:lang w:eastAsia="ru-RU"/>
        </w:rPr>
      </w:r>
    </w:p>
    <w:p>
      <w:pPr>
        <w:pStyle w:val="Style16"/>
        <w:jc w:val="right"/>
        <w:rPr>
          <w:lang w:eastAsia="ru-RU"/>
        </w:rPr>
      </w:pPr>
      <w:r>
        <w:rPr>
          <w:lang w:eastAsia="ru-RU"/>
        </w:rPr>
      </w:r>
    </w:p>
    <w:p>
      <w:pPr>
        <w:pStyle w:val="Style16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Style16"/>
        <w:widowControl/>
        <w:bidi w:val="0"/>
        <w:spacing w:lineRule="auto" w:line="276" w:before="0" w:after="140"/>
        <w:ind w:left="-283" w:right="907" w:firstLine="680"/>
        <w:jc w:val="left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tLeast" w:line="100"/>
        <w:ind w:right="872" w:hanging="0"/>
        <w:rPr>
          <w:b w:val="false"/>
          <w:b w:val="false"/>
          <w:bCs w:val="false"/>
          <w:sz w:val="28"/>
          <w:szCs w:val="28"/>
        </w:rPr>
      </w:pPr>
      <w:r>
        <w:rPr>
          <w:rFonts w:eastAsia="SimSun;宋体"/>
          <w:b w:val="false"/>
          <w:bCs w:val="false"/>
          <w:color w:val="000000"/>
          <w:kern w:val="2"/>
          <w:sz w:val="28"/>
          <w:szCs w:val="28"/>
          <w:lang w:eastAsia="hi-IN" w:bidi="hi-IN"/>
        </w:rPr>
        <w:t>рассмотрено  и рекомендовано</w:t>
      </w:r>
    </w:p>
    <w:p>
      <w:pPr>
        <w:pStyle w:val="Normal"/>
        <w:spacing w:lineRule="atLeast" w:line="100"/>
        <w:ind w:right="872" w:hanging="0"/>
        <w:rPr>
          <w:rFonts w:eastAsia="SimSun;宋体"/>
          <w:b w:val="false"/>
          <w:b w:val="false"/>
          <w:bCs w:val="false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b w:val="false"/>
          <w:bCs w:val="false"/>
          <w:color w:val="000000"/>
          <w:kern w:val="2"/>
          <w:sz w:val="28"/>
          <w:szCs w:val="28"/>
          <w:lang w:eastAsia="hi-IN" w:bidi="hi-IN"/>
        </w:rPr>
        <w:t>к утверждению</w:t>
      </w:r>
    </w:p>
    <w:p>
      <w:pPr>
        <w:pStyle w:val="Normal"/>
        <w:spacing w:lineRule="atLeast" w:line="100"/>
        <w:ind w:right="872" w:hanging="0"/>
        <w:rPr>
          <w:rFonts w:eastAsia="SimSun;宋体"/>
          <w:b w:val="false"/>
          <w:b w:val="false"/>
          <w:bCs w:val="false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b w:val="false"/>
          <w:bCs w:val="false"/>
          <w:color w:val="000000"/>
          <w:kern w:val="2"/>
          <w:sz w:val="28"/>
          <w:szCs w:val="28"/>
          <w:lang w:eastAsia="hi-IN" w:bidi="hi-IN"/>
        </w:rPr>
        <w:t xml:space="preserve">Педагогическим советом </w:t>
      </w:r>
    </w:p>
    <w:p>
      <w:pPr>
        <w:pStyle w:val="Normal"/>
        <w:widowControl/>
        <w:bidi w:val="0"/>
        <w:spacing w:lineRule="atLeast" w:line="100" w:before="0" w:after="140"/>
        <w:ind w:left="-283" w:right="907" w:hanging="0"/>
        <w:jc w:val="left"/>
        <w:rPr>
          <w:rFonts w:eastAsia="SimSun;宋体"/>
          <w:b w:val="false"/>
          <w:b w:val="false"/>
          <w:bCs w:val="false"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;宋体"/>
          <w:b w:val="false"/>
          <w:bCs w:val="false"/>
          <w:color w:val="000000"/>
          <w:kern w:val="2"/>
          <w:sz w:val="28"/>
          <w:szCs w:val="28"/>
          <w:lang w:eastAsia="ru-RU" w:bidi="hi-IN"/>
        </w:rPr>
        <w:t xml:space="preserve">    </w:t>
      </w:r>
      <w:r>
        <w:rPr>
          <w:rFonts w:eastAsia="SimSun;宋体"/>
          <w:b w:val="false"/>
          <w:bCs w:val="false"/>
          <w:color w:val="000000"/>
          <w:kern w:val="2"/>
          <w:sz w:val="28"/>
          <w:szCs w:val="28"/>
          <w:lang w:eastAsia="ru-RU" w:bidi="hi-IN"/>
        </w:rPr>
        <w:t>протокол №1  от 28августа 2024 г</w:t>
      </w:r>
    </w:p>
    <w:p>
      <w:pPr>
        <w:pStyle w:val="Style16"/>
        <w:widowControl/>
        <w:bidi w:val="0"/>
        <w:spacing w:lineRule="auto" w:line="276" w:before="0" w:after="140"/>
        <w:ind w:left="-283" w:right="907" w:hanging="0"/>
        <w:jc w:val="left"/>
        <w:rPr/>
      </w:pPr>
      <w:r>
        <w:rPr/>
      </w:r>
    </w:p>
    <w:p>
      <w:pPr>
        <w:pStyle w:val="Normal"/>
        <w:ind w:left="0" w:right="45" w:hanging="0"/>
        <w:rPr/>
      </w:pPr>
      <w:r>
        <w:rPr/>
      </w:r>
    </w:p>
    <w:p>
      <w:pPr>
        <w:pStyle w:val="Normal"/>
        <w:ind w:left="426" w:right="45" w:hanging="0"/>
        <w:jc w:val="center"/>
        <w:rPr>
          <w:b/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 xml:space="preserve">1. Деятельность педагогов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гимназии</w:t>
      </w:r>
      <w:r>
        <w:rPr/>
        <w:t xml:space="preserve"> по ведению карты учёта динамики развития учащегося, (далее — Карта) осуществляется в соответствии с Законом РФ от 29 декабря 2012 года № 273-ФЗ «Об образовании в Российской Федерации», Положением о психолого-педагогическом консилиуме образовательного учреждения, договором о сотрудничестве образовательного учреждения и родителей (законных представителей) обучающихся и другими действующими законодательными документами в сфере образования, защиты прав детей для сопровождения индивидуально образовательного маршрута или учащихся с ограниченными возможностями здоровья.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2. Карта составляется на каждого учащегося, имеющего заключение психолого-медико-педагогической комиссии с установленным статусом ОВЗ (далее — ПМПК) и при необходимости на учащегося с особыми образовательными потребностями.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З.  Карта отражает динамику развития ребенка в течение каждого учебного года и хранится в образовательном учреждении до завершения ребенком образования в данном образовательном учреждении.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4. Содержание Карты обязательно для ознакомления родителями (законными представителями) учащегося после каждого психолого-медико-педагогического консилиума (далее — ПМПК).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5. Доступ к содержащейся в Карте информации разрешается специалистам ППК и педагогам, осуществляющим процесс обучения, воспитания и развития обучающегося.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6. Работа с Картой организуется с соблюдением Федерального закона от 27 июля 2006 г. № 152 «О персональных данных».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7. Контроль над порядком ведения и хранения Карт осуществляется председателем ППК.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>8. Карта выдается родителям (законным представителям) при направлении ребенка на обследование специалистами ПМПК, при переходе обучающегося, воспитанника в другое образовательное учреждение, при завершении общего образования.</w:t>
      </w:r>
    </w:p>
    <w:p>
      <w:pPr>
        <w:pStyle w:val="Normal"/>
        <w:spacing w:lineRule="auto" w:line="360" w:before="0" w:after="0"/>
        <w:ind w:left="425" w:right="45" w:firstLine="567"/>
        <w:rPr/>
      </w:pPr>
      <w:r>
        <w:rPr/>
        <w:t xml:space="preserve">9. Карты, не затребованные родителями, передаются в архив </w:t>
      </w:r>
      <w:r>
        <w:rPr>
          <w:rFonts w:eastAsia="Times New Roman" w:cs="Times New Roman"/>
          <w:color w:val="000000"/>
          <w:kern w:val="0"/>
          <w:sz w:val="28"/>
          <w:szCs w:val="22"/>
          <w:lang w:val="ru-RU" w:eastAsia="ru-RU" w:bidi="ar-SA"/>
        </w:rPr>
        <w:t>гимназии</w:t>
      </w:r>
      <w:r>
        <w:rPr/>
        <w:t>, где хранятся в течение 2 лет со дня выбытия обучающегося из образовательного учреждения.</w:t>
      </w:r>
    </w:p>
    <w:p>
      <w:pPr>
        <w:pStyle w:val="Normal"/>
        <w:spacing w:lineRule="auto" w:line="360" w:before="0" w:after="0"/>
        <w:ind w:left="425" w:right="45" w:firstLine="567"/>
        <w:jc w:val="center"/>
        <w:rPr>
          <w:b/>
          <w:b/>
        </w:rPr>
      </w:pPr>
      <w:r>
        <w:rPr>
          <w:b/>
        </w:rPr>
        <w:t>II. Содержание карты учета динамики развития обучающегося.</w:t>
      </w:r>
    </w:p>
    <w:p>
      <w:pPr>
        <w:pStyle w:val="Normal"/>
        <w:spacing w:lineRule="auto" w:line="360" w:before="0" w:after="0"/>
        <w:ind w:left="425" w:right="293" w:firstLine="567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posOffset>144145</wp:posOffset>
            </wp:positionH>
            <wp:positionV relativeFrom="page">
              <wp:posOffset>1905635</wp:posOffset>
            </wp:positionV>
            <wp:extent cx="12065" cy="16510"/>
            <wp:effectExtent l="0" t="0" r="0" b="0"/>
            <wp:wrapSquare wrapText="bothSides"/>
            <wp:docPr id="2" name="Picture 27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7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page">
              <wp:posOffset>115570</wp:posOffset>
            </wp:positionH>
            <wp:positionV relativeFrom="page">
              <wp:posOffset>2285365</wp:posOffset>
            </wp:positionV>
            <wp:extent cx="16510" cy="16510"/>
            <wp:effectExtent l="0" t="0" r="0" b="0"/>
            <wp:wrapTopAndBottom/>
            <wp:docPr id="3" name="Picture 27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74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page">
              <wp:posOffset>127635</wp:posOffset>
            </wp:positionH>
            <wp:positionV relativeFrom="page">
              <wp:posOffset>2887345</wp:posOffset>
            </wp:positionV>
            <wp:extent cx="8255" cy="28575"/>
            <wp:effectExtent l="0" t="0" r="0" b="0"/>
            <wp:wrapSquare wrapText="bothSides"/>
            <wp:docPr id="4" name="Picture 27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74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page">
              <wp:posOffset>135890</wp:posOffset>
            </wp:positionH>
            <wp:positionV relativeFrom="page">
              <wp:posOffset>2149475</wp:posOffset>
            </wp:positionV>
            <wp:extent cx="8255" cy="12065"/>
            <wp:effectExtent l="0" t="0" r="0" b="0"/>
            <wp:wrapSquare wrapText="bothSides"/>
            <wp:docPr id="5" name="Picture 27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73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page">
              <wp:posOffset>160655</wp:posOffset>
            </wp:positionH>
            <wp:positionV relativeFrom="page">
              <wp:posOffset>2165985</wp:posOffset>
            </wp:positionV>
            <wp:extent cx="3810" cy="3810"/>
            <wp:effectExtent l="0" t="0" r="0" b="0"/>
            <wp:wrapSquare wrapText="bothSides"/>
            <wp:docPr id="6" name="Picture 27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74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page">
              <wp:posOffset>123825</wp:posOffset>
            </wp:positionH>
            <wp:positionV relativeFrom="page">
              <wp:posOffset>2602865</wp:posOffset>
            </wp:positionV>
            <wp:extent cx="8255" cy="16510"/>
            <wp:effectExtent l="0" t="0" r="0" b="0"/>
            <wp:wrapSquare wrapText="bothSides"/>
            <wp:docPr id="7" name="Picture 27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74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9">
            <wp:simplePos x="0" y="0"/>
            <wp:positionH relativeFrom="page">
              <wp:posOffset>123825</wp:posOffset>
            </wp:positionH>
            <wp:positionV relativeFrom="page">
              <wp:posOffset>2689860</wp:posOffset>
            </wp:positionV>
            <wp:extent cx="3810" cy="3810"/>
            <wp:effectExtent l="0" t="0" r="0" b="0"/>
            <wp:wrapSquare wrapText="bothSides"/>
            <wp:docPr id="8" name="Picture 27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74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1. Карта содержит следующую структуру: </w:t>
      </w:r>
    </w:p>
    <w:p>
      <w:pPr>
        <w:pStyle w:val="Normal"/>
        <w:spacing w:lineRule="auto" w:line="360" w:before="0" w:after="0"/>
        <w:ind w:left="425" w:right="293" w:firstLine="567"/>
        <w:rPr/>
      </w:pPr>
      <w:r>
        <w:rPr/>
        <w:t>- Титульный лист (заполняется классным руководителем). Социальная карта семьи (заполняется классным руководителем), Заключение ППк (заполняется куратором сопровождения по итогам проведения первого заседания ППк в учебном году).</w:t>
      </w:r>
    </w:p>
    <w:p>
      <w:pPr>
        <w:pStyle w:val="Normal"/>
        <w:spacing w:lineRule="auto" w:line="360" w:before="0" w:after="0"/>
        <w:ind w:left="425" w:right="293" w:firstLine="567"/>
        <w:rPr/>
      </w:pPr>
      <w:r>
        <w:rPr/>
        <w:t xml:space="preserve"> </w:t>
      </w:r>
      <w:r>
        <w:rPr/>
        <w:t xml:space="preserve">- Программа комплексного сопровождения ребенка (цель сопровождения формулируется всеми участниками сопровождения; задачи — каждым участником сопровождения). </w:t>
      </w:r>
    </w:p>
    <w:p>
      <w:pPr>
        <w:pStyle w:val="Normal"/>
        <w:spacing w:lineRule="auto" w:line="360" w:before="0" w:after="0"/>
        <w:ind w:left="425" w:right="293" w:firstLine="567"/>
        <w:rPr/>
      </w:pPr>
      <w:r>
        <w:rPr/>
        <w:t xml:space="preserve">- Индивидуально-психологические особенности (информация педагога-психолога). </w:t>
      </w:r>
    </w:p>
    <w:p>
      <w:pPr>
        <w:pStyle w:val="Normal"/>
        <w:spacing w:lineRule="auto" w:line="360" w:before="0" w:after="0"/>
        <w:ind w:left="425" w:right="293" w:firstLine="567"/>
        <w:rPr>
          <w:sz w:val="30"/>
        </w:rPr>
      </w:pPr>
      <w:r>
        <w:rPr/>
        <w:t>- Познавательные процессы (информация педагога-психолога). -Речевое развитие (информация учителя-</w:t>
      </w:r>
      <w:r>
        <w:rPr>
          <w:sz w:val="30"/>
        </w:rPr>
        <w:t xml:space="preserve">логопеда). </w:t>
      </w:r>
    </w:p>
    <w:p>
      <w:pPr>
        <w:pStyle w:val="Normal"/>
        <w:spacing w:lineRule="auto" w:line="360" w:before="0" w:after="0"/>
        <w:ind w:left="425" w:right="293" w:firstLine="567"/>
        <w:rPr/>
      </w:pPr>
      <w:r>
        <w:rPr>
          <w:sz w:val="30"/>
        </w:rPr>
        <w:t xml:space="preserve">- Информация классного руководителя, социального педагога. Результаты, достигнутые по завершении этапа сопровождения, оценка эффективности проделанной работы (заполняется куратором после проведения ППк по итогам учебного года). </w:t>
      </w:r>
    </w:p>
    <w:p>
      <w:pPr>
        <w:pStyle w:val="Normal"/>
        <w:spacing w:lineRule="auto" w:line="360" w:before="0" w:after="0"/>
        <w:ind w:left="425" w:right="0" w:firstLine="567"/>
        <w:rPr/>
      </w:pPr>
      <w:r>
        <w:rPr>
          <w:sz w:val="30"/>
        </w:rPr>
        <w:t>2. Карта заполняется 2 раза в год: в начале учебного года (входная диагностика) и в конце учебного года (завершающая диагностика).</w:t>
      </w:r>
    </w:p>
    <w:sectPr>
      <w:type w:val="nextPage"/>
      <w:pgSz w:w="11906" w:h="16838"/>
      <w:pgMar w:left="806" w:right="772" w:header="0" w:top="556" w:footer="0" w:bottom="95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88" w:before="0" w:after="3"/>
      <w:ind w:left="1425" w:right="872" w:firstLine="702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b5aec"/>
    <w:rPr>
      <w:rFonts w:ascii="Segoe UI" w:hAnsi="Segoe UI" w:eastAsia="Times New Roman" w:cs="Segoe UI"/>
      <w:color w:val="000000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b5ae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LibreOffice/7.1.4.2$Windows_X86_64 LibreOffice_project/a529a4fab45b75fefc5b6226684193eb000654f6</Application>
  <AppVersion>15.0000</AppVersion>
  <Pages>3</Pages>
  <Words>409</Words>
  <Characters>3091</Characters>
  <CharactersWithSpaces>3505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2025-01-21T11:37:00Z</dcterms:created>
  <dc:creator>Zavuch_ОЕВ</dc:creator>
  <dc:description/>
  <dc:language>ru-RU</dc:language>
  <cp:lastModifiedBy/>
  <cp:lastPrinted>2022-11-08T10:16:00Z</cp:lastPrinted>
  <dcterms:modified xsi:type="dcterms:W3CDTF">2025-02-09T10:06:22Z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